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0B7EC" w14:textId="0514B501" w:rsidR="002D0221" w:rsidRPr="009E2909" w:rsidRDefault="002D0221" w:rsidP="009E2909">
      <w:pPr>
        <w:pStyle w:val="Heading1"/>
        <w:spacing w:before="0" w:line="276" w:lineRule="auto"/>
        <w:rPr>
          <w:rFonts w:ascii="Arial" w:hAnsi="Arial" w:cs="Arial"/>
          <w:color w:val="237D6C"/>
        </w:rPr>
      </w:pPr>
      <w:r w:rsidRPr="002D0221">
        <w:rPr>
          <w:rFonts w:ascii="Arial" w:hAnsi="Arial" w:cs="Arial"/>
          <w:color w:val="237D6C"/>
        </w:rPr>
        <w:t>TSH Berkshire Appropriate Body – Induction and Maternity Leave</w:t>
      </w:r>
    </w:p>
    <w:p w14:paraId="358B920E" w14:textId="3B752254" w:rsidR="002D0221" w:rsidRPr="002D0221" w:rsidRDefault="002D0221" w:rsidP="002D0221">
      <w:pPr>
        <w:rPr>
          <w:b w:val="0"/>
          <w:bCs/>
          <w:color w:val="auto"/>
          <w:szCs w:val="22"/>
        </w:rPr>
      </w:pPr>
      <w:r w:rsidRPr="002D0221">
        <w:rPr>
          <w:b w:val="0"/>
          <w:bCs/>
          <w:color w:val="auto"/>
          <w:szCs w:val="22"/>
        </w:rPr>
        <w:t xml:space="preserve">According to paragraph 3.7 of the DfE’s </w:t>
      </w:r>
      <w:hyperlink r:id="rId6" w:history="1">
        <w:r w:rsidRPr="002D0221">
          <w:rPr>
            <w:rStyle w:val="Hyperlink"/>
            <w:b w:val="0"/>
            <w:bCs/>
            <w:color w:val="auto"/>
            <w:szCs w:val="22"/>
          </w:rPr>
          <w:t>Statutory Guidance for Induction</w:t>
        </w:r>
      </w:hyperlink>
      <w:r w:rsidRPr="002D0221">
        <w:rPr>
          <w:b w:val="0"/>
          <w:bCs/>
          <w:color w:val="auto"/>
          <w:szCs w:val="22"/>
        </w:rPr>
        <w:t>, maternity leave does not count as absence:</w:t>
      </w:r>
    </w:p>
    <w:p w14:paraId="031EF860" w14:textId="77777777" w:rsidR="002D0221" w:rsidRPr="002D0221" w:rsidRDefault="002D0221" w:rsidP="002D0221">
      <w:pPr>
        <w:rPr>
          <w:i/>
          <w:iCs/>
          <w:color w:val="D76F3B"/>
          <w:szCs w:val="22"/>
        </w:rPr>
      </w:pPr>
      <w:r w:rsidRPr="002D0221">
        <w:rPr>
          <w:i/>
          <w:iCs/>
          <w:color w:val="D76F3B"/>
          <w:szCs w:val="22"/>
        </w:rPr>
        <w:t xml:space="preserve">Extension of the induction period prior to completion due to statutory maternity, paternity, adoption, shared parental, parental bereavement or carer’s leave </w:t>
      </w:r>
    </w:p>
    <w:p w14:paraId="0A21BB86" w14:textId="04C10F34" w:rsidR="002D0221" w:rsidRDefault="002D0221" w:rsidP="002D0221">
      <w:pPr>
        <w:jc w:val="both"/>
        <w:rPr>
          <w:b w:val="0"/>
          <w:bCs/>
          <w:i/>
          <w:iCs/>
          <w:color w:val="auto"/>
          <w:szCs w:val="22"/>
        </w:rPr>
      </w:pPr>
      <w:r w:rsidRPr="002D0221">
        <w:rPr>
          <w:b w:val="0"/>
          <w:bCs/>
          <w:i/>
          <w:iCs/>
          <w:color w:val="auto"/>
          <w:szCs w:val="22"/>
        </w:rPr>
        <w:t xml:space="preserve">3.7. ECTs who take statutory maternity leave, statutory paternity leave, statutory adoption </w:t>
      </w:r>
      <w:proofErr w:type="gramStart"/>
      <w:r w:rsidRPr="002D0221">
        <w:rPr>
          <w:b w:val="0"/>
          <w:bCs/>
          <w:i/>
          <w:iCs/>
          <w:color w:val="auto"/>
          <w:szCs w:val="22"/>
        </w:rPr>
        <w:t>leave</w:t>
      </w:r>
      <w:proofErr w:type="gramEnd"/>
      <w:r w:rsidRPr="002D0221">
        <w:rPr>
          <w:b w:val="0"/>
          <w:bCs/>
          <w:i/>
          <w:iCs/>
          <w:color w:val="auto"/>
          <w:szCs w:val="22"/>
        </w:rPr>
        <w:t xml:space="preserve">, shared parental leave, parental bereavement </w:t>
      </w:r>
      <w:proofErr w:type="gramStart"/>
      <w:r w:rsidRPr="002D0221">
        <w:rPr>
          <w:b w:val="0"/>
          <w:bCs/>
          <w:i/>
          <w:iCs/>
          <w:color w:val="auto"/>
          <w:szCs w:val="22"/>
        </w:rPr>
        <w:t>leave</w:t>
      </w:r>
      <w:proofErr w:type="gramEnd"/>
      <w:r w:rsidRPr="002D0221">
        <w:rPr>
          <w:b w:val="0"/>
          <w:bCs/>
          <w:i/>
          <w:iCs/>
          <w:color w:val="auto"/>
          <w:szCs w:val="22"/>
        </w:rPr>
        <w:t xml:space="preserve"> or carer’s leave while serving their induction period or serving an extension to their induction period may decide whether their induction period should be extended (or further extended) to reflect the number of days absent for this purpose. Any outstanding assessments should not be made until the ECT returns to work and has had the opportunity to decide whether to extend (or further extend) their induction period, and any such request must be granted. If an ECT chooses not to extend (or further extend) their induction period, their performance will still be assessed against the Teachers’ Standards. It is, therefore, recommended that an ECT in this situation seeks advice before making such a decision. </w:t>
      </w:r>
    </w:p>
    <w:p w14:paraId="425641EE" w14:textId="77777777" w:rsidR="002D0221" w:rsidRDefault="002D0221" w:rsidP="002D0221">
      <w:pPr>
        <w:jc w:val="both"/>
        <w:rPr>
          <w:b w:val="0"/>
          <w:bCs/>
          <w:color w:val="auto"/>
          <w:szCs w:val="22"/>
        </w:rPr>
      </w:pPr>
      <w:r>
        <w:rPr>
          <w:b w:val="0"/>
          <w:bCs/>
          <w:color w:val="auto"/>
          <w:szCs w:val="22"/>
        </w:rPr>
        <w:t>This means that an ECT taking maternity leave has two options on their return to school.</w:t>
      </w:r>
    </w:p>
    <w:p w14:paraId="1ECE3036" w14:textId="671C4E1F" w:rsidR="002D0221" w:rsidRDefault="002D0221" w:rsidP="002D0221">
      <w:pPr>
        <w:pStyle w:val="Heading2"/>
        <w:spacing w:before="0"/>
        <w:rPr>
          <w:bCs/>
          <w:color w:val="D76F3B"/>
          <w:sz w:val="28"/>
          <w:szCs w:val="28"/>
        </w:rPr>
      </w:pPr>
      <w:r w:rsidRPr="002D0221">
        <w:rPr>
          <w:rFonts w:ascii="Arial" w:hAnsi="Arial" w:cs="Arial"/>
          <w:bCs/>
          <w:color w:val="D76F3B"/>
          <w:sz w:val="28"/>
          <w:szCs w:val="28"/>
        </w:rPr>
        <w:t>Option 1</w:t>
      </w:r>
      <w:r w:rsidRPr="002D0221">
        <w:rPr>
          <w:bCs/>
          <w:color w:val="D76F3B"/>
          <w:sz w:val="28"/>
          <w:szCs w:val="28"/>
        </w:rPr>
        <w:t xml:space="preserve"> </w:t>
      </w:r>
    </w:p>
    <w:p w14:paraId="1B64BAF3" w14:textId="63FEDF21" w:rsidR="002D0221" w:rsidRDefault="00E209EA" w:rsidP="00E209EA">
      <w:pPr>
        <w:jc w:val="both"/>
        <w:rPr>
          <w:b w:val="0"/>
          <w:bCs/>
          <w:color w:val="auto"/>
        </w:rPr>
      </w:pPr>
      <w:r w:rsidRPr="00E209EA">
        <w:rPr>
          <w:b w:val="0"/>
          <w:bCs/>
          <w:color w:val="auto"/>
        </w:rPr>
        <w:t>The ECT can choose to extend their induction by the number of days they have been on maternity leave.</w:t>
      </w:r>
      <w:r>
        <w:rPr>
          <w:b w:val="0"/>
          <w:bCs/>
          <w:color w:val="auto"/>
        </w:rPr>
        <w:t xml:space="preserve">  This means in effect that they would pick up induction at the point at which they went on maternity </w:t>
      </w:r>
      <w:proofErr w:type="gramStart"/>
      <w:r>
        <w:rPr>
          <w:b w:val="0"/>
          <w:bCs/>
          <w:color w:val="auto"/>
        </w:rPr>
        <w:t>leave, and</w:t>
      </w:r>
      <w:proofErr w:type="gramEnd"/>
      <w:r>
        <w:rPr>
          <w:b w:val="0"/>
          <w:bCs/>
          <w:color w:val="auto"/>
        </w:rPr>
        <w:t xml:space="preserve"> continue with their induction period until they had completed two years (or the equivalent if they are part time).  In this case, the ECT would retai</w:t>
      </w:r>
      <w:r w:rsidR="000D7657">
        <w:rPr>
          <w:b w:val="0"/>
          <w:bCs/>
          <w:color w:val="auto"/>
        </w:rPr>
        <w:t>n</w:t>
      </w:r>
      <w:r>
        <w:rPr>
          <w:b w:val="0"/>
          <w:bCs/>
          <w:color w:val="auto"/>
        </w:rPr>
        <w:t xml:space="preserve"> all their entitlements (timetable reduction and mentor support</w:t>
      </w:r>
      <w:r w:rsidR="000D7657">
        <w:rPr>
          <w:b w:val="0"/>
          <w:bCs/>
          <w:color w:val="auto"/>
        </w:rPr>
        <w:t xml:space="preserve"> etc</w:t>
      </w:r>
      <w:proofErr w:type="gramStart"/>
      <w:r>
        <w:rPr>
          <w:b w:val="0"/>
          <w:bCs/>
          <w:color w:val="auto"/>
        </w:rPr>
        <w:t>)</w:t>
      </w:r>
      <w:proofErr w:type="gramEnd"/>
      <w:r>
        <w:rPr>
          <w:b w:val="0"/>
          <w:bCs/>
          <w:color w:val="auto"/>
        </w:rPr>
        <w:t xml:space="preserve"> and the remaining progress reviews and assessments would be written as normal.  If an ECT decides to take this option, the school must allow them to continue their induction.</w:t>
      </w:r>
    </w:p>
    <w:p w14:paraId="74FFBEDA" w14:textId="04E31960" w:rsidR="00E209EA" w:rsidRDefault="00E209EA" w:rsidP="00E209EA">
      <w:pPr>
        <w:pStyle w:val="Heading2"/>
        <w:spacing w:before="0"/>
        <w:rPr>
          <w:rFonts w:ascii="Arial" w:hAnsi="Arial" w:cs="Arial"/>
          <w:bCs/>
          <w:color w:val="D76F3B"/>
          <w:sz w:val="28"/>
          <w:szCs w:val="28"/>
        </w:rPr>
      </w:pPr>
      <w:r w:rsidRPr="00E209EA">
        <w:rPr>
          <w:rFonts w:ascii="Arial" w:hAnsi="Arial" w:cs="Arial"/>
          <w:bCs/>
          <w:color w:val="D76F3B"/>
          <w:sz w:val="28"/>
          <w:szCs w:val="28"/>
        </w:rPr>
        <w:t>Option 2</w:t>
      </w:r>
    </w:p>
    <w:p w14:paraId="71C83A0B" w14:textId="1A55C228" w:rsidR="00C308B8" w:rsidRDefault="00E209EA" w:rsidP="00E209EA">
      <w:pPr>
        <w:jc w:val="both"/>
        <w:rPr>
          <w:b w:val="0"/>
          <w:bCs/>
          <w:color w:val="auto"/>
        </w:rPr>
      </w:pPr>
      <w:r>
        <w:rPr>
          <w:b w:val="0"/>
          <w:bCs/>
          <w:color w:val="auto"/>
        </w:rPr>
        <w:t>An ECT can decide that they want their maternity leave to count as part of their induction period.  In this case, when they return to school, the school and the Appropriate Body will calculate how much (if any) of the induction period remains, and what progress reviews or assessments are still to be completed.  It is often the case that ECTs choosing this option only have the final assessment due, and the school and the Appropriate Body will decide when this assessment should be submitted.  In this case, the ECT will lose all their induction entitlements (timetable reduction, mentor support etc) once the final report is submitted.  Schools will also often be making a judgement about whether the ECT has met the Teachers’ Standards based on evidence collected before the ECT went on maternity leave.  Depending how much of the induction period the ECT has completed before going on maternity leave, this evidence may be limited – if the school felt it was not enough to say that the ECT has successfully met the Teachers’ Standards, then they could request an extension to the induction period in order to have time for the ECT to evidence meeting the standards.</w:t>
      </w:r>
    </w:p>
    <w:p w14:paraId="197AC77B" w14:textId="70208C25" w:rsidR="00DB01D0" w:rsidRDefault="009E2909" w:rsidP="00E209EA">
      <w:pPr>
        <w:jc w:val="both"/>
        <w:rPr>
          <w:color w:val="auto"/>
        </w:rPr>
      </w:pPr>
      <w:r w:rsidRPr="00C308B8">
        <w:rPr>
          <w:color w:val="auto"/>
        </w:rPr>
        <w:t xml:space="preserve">Although the decision is not made until the ECT returns to school, </w:t>
      </w:r>
      <w:r w:rsidR="00C9790A">
        <w:rPr>
          <w:color w:val="auto"/>
        </w:rPr>
        <w:t>induction tutors</w:t>
      </w:r>
      <w:r w:rsidRPr="00C308B8">
        <w:rPr>
          <w:color w:val="auto"/>
        </w:rPr>
        <w:t xml:space="preserve"> and ECTs should discuss the options before an ECT goes on maternity </w:t>
      </w:r>
      <w:proofErr w:type="gramStart"/>
      <w:r w:rsidRPr="00C308B8">
        <w:rPr>
          <w:color w:val="auto"/>
        </w:rPr>
        <w:t>leave, and</w:t>
      </w:r>
      <w:proofErr w:type="gramEnd"/>
      <w:r w:rsidRPr="00C308B8">
        <w:rPr>
          <w:color w:val="auto"/>
        </w:rPr>
        <w:t xml:space="preserve"> ensure that any evidence already gathered is </w:t>
      </w:r>
      <w:r w:rsidR="00C308B8" w:rsidRPr="00C308B8">
        <w:rPr>
          <w:color w:val="auto"/>
        </w:rPr>
        <w:t>saved and easily accessible on the ECT’s return.</w:t>
      </w:r>
    </w:p>
    <w:p w14:paraId="0A0D3E51" w14:textId="77777777" w:rsidR="003B40BF" w:rsidRDefault="003B40BF" w:rsidP="00E209EA">
      <w:pPr>
        <w:jc w:val="both"/>
        <w:rPr>
          <w:color w:val="auto"/>
        </w:rPr>
      </w:pPr>
    </w:p>
    <w:p w14:paraId="0E051D34" w14:textId="56593491" w:rsidR="003B40BF" w:rsidRDefault="003B40BF" w:rsidP="00E209EA">
      <w:pPr>
        <w:jc w:val="both"/>
        <w:rPr>
          <w:color w:val="auto"/>
        </w:rPr>
      </w:pPr>
      <w:r>
        <w:rPr>
          <w:color w:val="auto"/>
        </w:rPr>
        <w:lastRenderedPageBreak/>
        <w:t xml:space="preserve">Please complete the form below, confirming that this has been discussed in school, and the proposed dates of maternity leave.  </w:t>
      </w:r>
    </w:p>
    <w:p w14:paraId="0EC81297" w14:textId="5FB12384" w:rsidR="003B40BF" w:rsidRDefault="003B40BF" w:rsidP="00E209EA">
      <w:pPr>
        <w:jc w:val="both"/>
        <w:rPr>
          <w:color w:val="auto"/>
        </w:rPr>
      </w:pPr>
      <w:r>
        <w:rPr>
          <w:color w:val="auto"/>
        </w:rPr>
        <w:t xml:space="preserve">This is not binding, </w:t>
      </w:r>
      <w:r w:rsidR="008E4AAA">
        <w:rPr>
          <w:color w:val="auto"/>
        </w:rPr>
        <w:t>but merely to give the Appropriate Body an indication of when the ECT will be absent.</w:t>
      </w:r>
    </w:p>
    <w:tbl>
      <w:tblPr>
        <w:tblStyle w:val="TableGrid"/>
        <w:tblW w:w="0" w:type="auto"/>
        <w:tblLook w:val="04A0" w:firstRow="1" w:lastRow="0" w:firstColumn="1" w:lastColumn="0" w:noHBand="0" w:noVBand="1"/>
      </w:tblPr>
      <w:tblGrid>
        <w:gridCol w:w="2404"/>
        <w:gridCol w:w="7558"/>
      </w:tblGrid>
      <w:tr w:rsidR="008E4AAA" w14:paraId="351D03B5" w14:textId="77777777" w:rsidTr="00FC46A5">
        <w:tc>
          <w:tcPr>
            <w:tcW w:w="2404" w:type="dxa"/>
          </w:tcPr>
          <w:p w14:paraId="4D1BB898" w14:textId="77777777" w:rsidR="008E4AAA" w:rsidRPr="00766264" w:rsidRDefault="008E4AAA" w:rsidP="00E209EA">
            <w:pPr>
              <w:jc w:val="both"/>
              <w:rPr>
                <w:b w:val="0"/>
                <w:bCs/>
                <w:color w:val="auto"/>
              </w:rPr>
            </w:pPr>
            <w:r w:rsidRPr="00766264">
              <w:rPr>
                <w:b w:val="0"/>
                <w:bCs/>
                <w:color w:val="auto"/>
              </w:rPr>
              <w:t>ECT Name</w:t>
            </w:r>
          </w:p>
          <w:p w14:paraId="7760CAB0" w14:textId="2D7641C7" w:rsidR="008E4AAA" w:rsidRPr="00766264" w:rsidRDefault="008E4AAA" w:rsidP="00E209EA">
            <w:pPr>
              <w:jc w:val="both"/>
              <w:rPr>
                <w:b w:val="0"/>
                <w:bCs/>
                <w:color w:val="auto"/>
              </w:rPr>
            </w:pPr>
          </w:p>
        </w:tc>
        <w:tc>
          <w:tcPr>
            <w:tcW w:w="7558" w:type="dxa"/>
          </w:tcPr>
          <w:p w14:paraId="574CB733" w14:textId="77777777" w:rsidR="008E4AAA" w:rsidRDefault="008E4AAA" w:rsidP="00E209EA">
            <w:pPr>
              <w:jc w:val="both"/>
              <w:rPr>
                <w:color w:val="auto"/>
              </w:rPr>
            </w:pPr>
          </w:p>
        </w:tc>
      </w:tr>
      <w:tr w:rsidR="008E4AAA" w14:paraId="3A2CC66B" w14:textId="77777777" w:rsidTr="00FC46A5">
        <w:tc>
          <w:tcPr>
            <w:tcW w:w="2404" w:type="dxa"/>
          </w:tcPr>
          <w:p w14:paraId="376AF812" w14:textId="77777777" w:rsidR="008E4AAA" w:rsidRPr="00766264" w:rsidRDefault="008E4AAA" w:rsidP="00E209EA">
            <w:pPr>
              <w:jc w:val="both"/>
              <w:rPr>
                <w:b w:val="0"/>
                <w:bCs/>
                <w:color w:val="auto"/>
              </w:rPr>
            </w:pPr>
            <w:r w:rsidRPr="00766264">
              <w:rPr>
                <w:b w:val="0"/>
                <w:bCs/>
                <w:color w:val="auto"/>
              </w:rPr>
              <w:t>ECT email</w:t>
            </w:r>
          </w:p>
          <w:p w14:paraId="35240AF9" w14:textId="48E256F0" w:rsidR="008E4AAA" w:rsidRPr="00766264" w:rsidRDefault="008E4AAA" w:rsidP="00E209EA">
            <w:pPr>
              <w:jc w:val="both"/>
              <w:rPr>
                <w:b w:val="0"/>
                <w:bCs/>
                <w:color w:val="auto"/>
              </w:rPr>
            </w:pPr>
          </w:p>
        </w:tc>
        <w:tc>
          <w:tcPr>
            <w:tcW w:w="7558" w:type="dxa"/>
          </w:tcPr>
          <w:p w14:paraId="42C5D297" w14:textId="77777777" w:rsidR="008E4AAA" w:rsidRDefault="008E4AAA" w:rsidP="00E209EA">
            <w:pPr>
              <w:jc w:val="both"/>
              <w:rPr>
                <w:color w:val="auto"/>
              </w:rPr>
            </w:pPr>
          </w:p>
        </w:tc>
      </w:tr>
      <w:tr w:rsidR="008E4AAA" w14:paraId="354957BE" w14:textId="77777777" w:rsidTr="00FC46A5">
        <w:tc>
          <w:tcPr>
            <w:tcW w:w="2404" w:type="dxa"/>
          </w:tcPr>
          <w:p w14:paraId="111517B1" w14:textId="77777777" w:rsidR="008E4AAA" w:rsidRPr="00766264" w:rsidRDefault="008E4AAA" w:rsidP="00E209EA">
            <w:pPr>
              <w:jc w:val="both"/>
              <w:rPr>
                <w:b w:val="0"/>
                <w:bCs/>
                <w:color w:val="auto"/>
              </w:rPr>
            </w:pPr>
            <w:r w:rsidRPr="00766264">
              <w:rPr>
                <w:b w:val="0"/>
                <w:bCs/>
                <w:color w:val="auto"/>
              </w:rPr>
              <w:t>School</w:t>
            </w:r>
          </w:p>
          <w:p w14:paraId="62C4CF5C" w14:textId="0AD1069A" w:rsidR="008E4AAA" w:rsidRPr="00766264" w:rsidRDefault="008E4AAA" w:rsidP="00E209EA">
            <w:pPr>
              <w:jc w:val="both"/>
              <w:rPr>
                <w:b w:val="0"/>
                <w:bCs/>
                <w:color w:val="auto"/>
              </w:rPr>
            </w:pPr>
          </w:p>
        </w:tc>
        <w:tc>
          <w:tcPr>
            <w:tcW w:w="7558" w:type="dxa"/>
          </w:tcPr>
          <w:p w14:paraId="3353EA1E" w14:textId="77777777" w:rsidR="008E4AAA" w:rsidRDefault="008E4AAA" w:rsidP="00E209EA">
            <w:pPr>
              <w:jc w:val="both"/>
              <w:rPr>
                <w:color w:val="auto"/>
              </w:rPr>
            </w:pPr>
          </w:p>
        </w:tc>
      </w:tr>
      <w:tr w:rsidR="008E4AAA" w14:paraId="515A212E" w14:textId="77777777" w:rsidTr="00FC46A5">
        <w:tc>
          <w:tcPr>
            <w:tcW w:w="2404" w:type="dxa"/>
          </w:tcPr>
          <w:p w14:paraId="54EE9706" w14:textId="77777777" w:rsidR="008E4AAA" w:rsidRPr="00766264" w:rsidRDefault="008E4AAA" w:rsidP="00E209EA">
            <w:pPr>
              <w:jc w:val="both"/>
              <w:rPr>
                <w:b w:val="0"/>
                <w:bCs/>
                <w:color w:val="auto"/>
              </w:rPr>
            </w:pPr>
            <w:r w:rsidRPr="00766264">
              <w:rPr>
                <w:b w:val="0"/>
                <w:bCs/>
                <w:color w:val="auto"/>
              </w:rPr>
              <w:t>Induction tutor name</w:t>
            </w:r>
          </w:p>
          <w:p w14:paraId="59B7DB81" w14:textId="6385CC02" w:rsidR="00A76692" w:rsidRPr="00766264" w:rsidRDefault="00A76692" w:rsidP="00E209EA">
            <w:pPr>
              <w:jc w:val="both"/>
              <w:rPr>
                <w:b w:val="0"/>
                <w:bCs/>
                <w:color w:val="auto"/>
              </w:rPr>
            </w:pPr>
          </w:p>
        </w:tc>
        <w:tc>
          <w:tcPr>
            <w:tcW w:w="7558" w:type="dxa"/>
          </w:tcPr>
          <w:p w14:paraId="7D6CC8A3" w14:textId="77777777" w:rsidR="008E4AAA" w:rsidRDefault="008E4AAA" w:rsidP="00E209EA">
            <w:pPr>
              <w:jc w:val="both"/>
              <w:rPr>
                <w:color w:val="auto"/>
              </w:rPr>
            </w:pPr>
          </w:p>
        </w:tc>
      </w:tr>
      <w:tr w:rsidR="008E4AAA" w14:paraId="7EA96E85" w14:textId="77777777" w:rsidTr="00FC46A5">
        <w:tc>
          <w:tcPr>
            <w:tcW w:w="2404" w:type="dxa"/>
          </w:tcPr>
          <w:p w14:paraId="3358C8D8" w14:textId="77777777" w:rsidR="008E4AAA" w:rsidRPr="00766264" w:rsidRDefault="00A76692" w:rsidP="00E209EA">
            <w:pPr>
              <w:jc w:val="both"/>
              <w:rPr>
                <w:b w:val="0"/>
                <w:bCs/>
                <w:color w:val="auto"/>
              </w:rPr>
            </w:pPr>
            <w:r w:rsidRPr="00766264">
              <w:rPr>
                <w:b w:val="0"/>
                <w:bCs/>
                <w:color w:val="auto"/>
              </w:rPr>
              <w:t>Induction tutor email</w:t>
            </w:r>
          </w:p>
          <w:p w14:paraId="09B7C73E" w14:textId="05EAD6E7" w:rsidR="00A76692" w:rsidRPr="00766264" w:rsidRDefault="00A76692" w:rsidP="00E209EA">
            <w:pPr>
              <w:jc w:val="both"/>
              <w:rPr>
                <w:b w:val="0"/>
                <w:bCs/>
                <w:color w:val="auto"/>
              </w:rPr>
            </w:pPr>
          </w:p>
        </w:tc>
        <w:tc>
          <w:tcPr>
            <w:tcW w:w="7558" w:type="dxa"/>
          </w:tcPr>
          <w:p w14:paraId="6A634DB8" w14:textId="77777777" w:rsidR="008E4AAA" w:rsidRDefault="008E4AAA" w:rsidP="00E209EA">
            <w:pPr>
              <w:jc w:val="both"/>
              <w:rPr>
                <w:color w:val="auto"/>
              </w:rPr>
            </w:pPr>
          </w:p>
        </w:tc>
      </w:tr>
      <w:tr w:rsidR="008E4AAA" w14:paraId="2F56E7F2" w14:textId="77777777" w:rsidTr="00FC46A5">
        <w:tc>
          <w:tcPr>
            <w:tcW w:w="2404" w:type="dxa"/>
          </w:tcPr>
          <w:p w14:paraId="4501ECFC" w14:textId="144068FD" w:rsidR="008E4AAA" w:rsidRPr="00766264" w:rsidRDefault="00A76692" w:rsidP="00E209EA">
            <w:pPr>
              <w:jc w:val="both"/>
              <w:rPr>
                <w:b w:val="0"/>
                <w:bCs/>
                <w:color w:val="auto"/>
              </w:rPr>
            </w:pPr>
            <w:r w:rsidRPr="00766264">
              <w:rPr>
                <w:b w:val="0"/>
                <w:bCs/>
                <w:color w:val="auto"/>
              </w:rPr>
              <w:t>Proposed start date of maternity leave</w:t>
            </w:r>
          </w:p>
        </w:tc>
        <w:tc>
          <w:tcPr>
            <w:tcW w:w="7558" w:type="dxa"/>
          </w:tcPr>
          <w:p w14:paraId="75ED655F" w14:textId="77777777" w:rsidR="008E4AAA" w:rsidRDefault="008E4AAA" w:rsidP="00E209EA">
            <w:pPr>
              <w:jc w:val="both"/>
              <w:rPr>
                <w:color w:val="auto"/>
              </w:rPr>
            </w:pPr>
          </w:p>
        </w:tc>
      </w:tr>
      <w:tr w:rsidR="00A76692" w14:paraId="44C09C7F" w14:textId="77777777" w:rsidTr="00FC46A5">
        <w:tc>
          <w:tcPr>
            <w:tcW w:w="2404" w:type="dxa"/>
          </w:tcPr>
          <w:p w14:paraId="29CA4594" w14:textId="1A935521" w:rsidR="00A76692" w:rsidRPr="00766264" w:rsidRDefault="00A76692" w:rsidP="00C74FEE">
            <w:pPr>
              <w:rPr>
                <w:b w:val="0"/>
                <w:bCs/>
                <w:color w:val="auto"/>
              </w:rPr>
            </w:pPr>
            <w:r w:rsidRPr="00766264">
              <w:rPr>
                <w:b w:val="0"/>
                <w:bCs/>
                <w:color w:val="auto"/>
              </w:rPr>
              <w:t>Approximate</w:t>
            </w:r>
            <w:r w:rsidR="00C74FEE" w:rsidRPr="00766264">
              <w:rPr>
                <w:b w:val="0"/>
                <w:bCs/>
                <w:color w:val="auto"/>
              </w:rPr>
              <w:t xml:space="preserve"> date of</w:t>
            </w:r>
            <w:r w:rsidRPr="00766264">
              <w:rPr>
                <w:b w:val="0"/>
                <w:bCs/>
                <w:color w:val="auto"/>
              </w:rPr>
              <w:t xml:space="preserve"> return from maternity leave</w:t>
            </w:r>
            <w:r w:rsidR="00CF523E">
              <w:rPr>
                <w:b w:val="0"/>
                <w:bCs/>
                <w:color w:val="auto"/>
              </w:rPr>
              <w:t xml:space="preserve"> (provisional)</w:t>
            </w:r>
          </w:p>
        </w:tc>
        <w:tc>
          <w:tcPr>
            <w:tcW w:w="7558" w:type="dxa"/>
          </w:tcPr>
          <w:p w14:paraId="4FDBF7DC" w14:textId="77777777" w:rsidR="00A76692" w:rsidRDefault="00A76692" w:rsidP="00E209EA">
            <w:pPr>
              <w:jc w:val="both"/>
              <w:rPr>
                <w:color w:val="auto"/>
              </w:rPr>
            </w:pPr>
          </w:p>
        </w:tc>
      </w:tr>
      <w:tr w:rsidR="00766264" w14:paraId="6C1C06BB" w14:textId="77777777" w:rsidTr="00F80FF8">
        <w:tc>
          <w:tcPr>
            <w:tcW w:w="9962" w:type="dxa"/>
            <w:gridSpan w:val="2"/>
          </w:tcPr>
          <w:p w14:paraId="2A96893F" w14:textId="3413BF31" w:rsidR="00766264" w:rsidRPr="007E61EE" w:rsidRDefault="00766264" w:rsidP="00E209EA">
            <w:pPr>
              <w:jc w:val="both"/>
              <w:rPr>
                <w:b w:val="0"/>
                <w:bCs/>
                <w:color w:val="auto"/>
              </w:rPr>
            </w:pPr>
            <w:r w:rsidRPr="006D4693">
              <w:rPr>
                <w:b w:val="0"/>
                <w:bCs/>
                <w:color w:val="auto"/>
              </w:rPr>
              <w:t xml:space="preserve">The induction tutor and ECT have discussed </w:t>
            </w:r>
            <w:r>
              <w:rPr>
                <w:b w:val="0"/>
                <w:bCs/>
                <w:color w:val="auto"/>
              </w:rPr>
              <w:t>the rules around maternity leave and induction and the ECT would like to choose the following option</w:t>
            </w:r>
            <w:r w:rsidR="00A161E1">
              <w:rPr>
                <w:b w:val="0"/>
                <w:bCs/>
                <w:color w:val="auto"/>
              </w:rPr>
              <w:t>*</w:t>
            </w:r>
          </w:p>
        </w:tc>
      </w:tr>
      <w:tr w:rsidR="00FC46A5" w14:paraId="6FC85003" w14:textId="034F13D0" w:rsidTr="00FC46A5">
        <w:tc>
          <w:tcPr>
            <w:tcW w:w="2404" w:type="dxa"/>
          </w:tcPr>
          <w:p w14:paraId="092A5210" w14:textId="6BA455B6" w:rsidR="00FC46A5" w:rsidRDefault="00FC46A5" w:rsidP="00766264">
            <w:pPr>
              <w:jc w:val="both"/>
              <w:rPr>
                <w:b w:val="0"/>
                <w:bCs/>
                <w:color w:val="auto"/>
              </w:rPr>
            </w:pPr>
            <w:r>
              <w:rPr>
                <w:b w:val="0"/>
                <w:bCs/>
                <w:color w:val="auto"/>
              </w:rPr>
              <w:t>Option 1</w:t>
            </w:r>
          </w:p>
          <w:p w14:paraId="313F9873" w14:textId="5693395E" w:rsidR="00FC46A5" w:rsidRPr="006D4693" w:rsidRDefault="00FC46A5" w:rsidP="00766264">
            <w:pPr>
              <w:jc w:val="both"/>
              <w:rPr>
                <w:b w:val="0"/>
                <w:bCs/>
                <w:color w:val="auto"/>
              </w:rPr>
            </w:pPr>
          </w:p>
        </w:tc>
        <w:tc>
          <w:tcPr>
            <w:tcW w:w="7558" w:type="dxa"/>
          </w:tcPr>
          <w:p w14:paraId="09D94898" w14:textId="77777777" w:rsidR="00FC46A5" w:rsidRDefault="00FC46A5">
            <w:pPr>
              <w:rPr>
                <w:b w:val="0"/>
                <w:bCs/>
                <w:color w:val="auto"/>
              </w:rPr>
            </w:pPr>
          </w:p>
          <w:p w14:paraId="0BB7D2C8" w14:textId="77777777" w:rsidR="00FC46A5" w:rsidRPr="006D4693" w:rsidRDefault="00FC46A5" w:rsidP="00766264">
            <w:pPr>
              <w:jc w:val="both"/>
              <w:rPr>
                <w:b w:val="0"/>
                <w:bCs/>
                <w:color w:val="auto"/>
              </w:rPr>
            </w:pPr>
          </w:p>
        </w:tc>
      </w:tr>
      <w:tr w:rsidR="00FC46A5" w14:paraId="28A541A4" w14:textId="5139F0ED" w:rsidTr="00FC46A5">
        <w:tc>
          <w:tcPr>
            <w:tcW w:w="2404" w:type="dxa"/>
          </w:tcPr>
          <w:p w14:paraId="49520933" w14:textId="77777777" w:rsidR="00FC46A5" w:rsidRDefault="00FC46A5" w:rsidP="00766264">
            <w:pPr>
              <w:jc w:val="both"/>
              <w:rPr>
                <w:b w:val="0"/>
                <w:bCs/>
                <w:color w:val="auto"/>
              </w:rPr>
            </w:pPr>
            <w:r>
              <w:rPr>
                <w:b w:val="0"/>
                <w:bCs/>
                <w:color w:val="auto"/>
              </w:rPr>
              <w:t>Option 2</w:t>
            </w:r>
          </w:p>
          <w:p w14:paraId="6C9B9B64" w14:textId="68CC9ABA" w:rsidR="00FC46A5" w:rsidRDefault="00FC46A5" w:rsidP="00766264">
            <w:pPr>
              <w:jc w:val="both"/>
              <w:rPr>
                <w:b w:val="0"/>
                <w:bCs/>
                <w:color w:val="auto"/>
              </w:rPr>
            </w:pPr>
          </w:p>
        </w:tc>
        <w:tc>
          <w:tcPr>
            <w:tcW w:w="7558" w:type="dxa"/>
          </w:tcPr>
          <w:p w14:paraId="36DC8240" w14:textId="77777777" w:rsidR="00FC46A5" w:rsidRDefault="00FC46A5" w:rsidP="00FC46A5">
            <w:pPr>
              <w:jc w:val="both"/>
              <w:rPr>
                <w:b w:val="0"/>
                <w:bCs/>
                <w:color w:val="auto"/>
              </w:rPr>
            </w:pPr>
          </w:p>
        </w:tc>
      </w:tr>
      <w:tr w:rsidR="00A161E1" w14:paraId="52EC2E7C" w14:textId="19A2D01B" w:rsidTr="00950A3A">
        <w:tc>
          <w:tcPr>
            <w:tcW w:w="9962" w:type="dxa"/>
            <w:gridSpan w:val="2"/>
          </w:tcPr>
          <w:p w14:paraId="16166013" w14:textId="2DE7CB86" w:rsidR="00A161E1" w:rsidRDefault="00A161E1" w:rsidP="00766264">
            <w:pPr>
              <w:jc w:val="both"/>
              <w:rPr>
                <w:b w:val="0"/>
                <w:bCs/>
                <w:color w:val="auto"/>
              </w:rPr>
            </w:pPr>
            <w:r>
              <w:rPr>
                <w:b w:val="0"/>
                <w:bCs/>
                <w:color w:val="auto"/>
              </w:rPr>
              <w:t>*</w:t>
            </w:r>
            <w:r w:rsidR="00CF523E">
              <w:rPr>
                <w:b w:val="0"/>
                <w:bCs/>
                <w:color w:val="auto"/>
              </w:rPr>
              <w:t>The</w:t>
            </w:r>
            <w:r>
              <w:rPr>
                <w:b w:val="0"/>
                <w:bCs/>
                <w:color w:val="auto"/>
              </w:rPr>
              <w:t xml:space="preserve"> choice can be left until the ECT returns from maternity leave.  Or ECTs can provisionally indicate a preference and confirm on their return.</w:t>
            </w:r>
          </w:p>
        </w:tc>
      </w:tr>
      <w:tr w:rsidR="00DC2AE6" w14:paraId="06A321E6" w14:textId="77777777" w:rsidTr="00950A3A">
        <w:tc>
          <w:tcPr>
            <w:tcW w:w="9962" w:type="dxa"/>
            <w:gridSpan w:val="2"/>
          </w:tcPr>
          <w:p w14:paraId="5DD4903C" w14:textId="77777777" w:rsidR="003F68BE" w:rsidRDefault="009B533C" w:rsidP="00766264">
            <w:pPr>
              <w:jc w:val="both"/>
              <w:rPr>
                <w:b w:val="0"/>
                <w:bCs/>
                <w:color w:val="auto"/>
              </w:rPr>
            </w:pPr>
            <w:r w:rsidRPr="003F68BE">
              <w:rPr>
                <w:color w:val="auto"/>
              </w:rPr>
              <w:t>For option 2</w:t>
            </w:r>
            <w:r>
              <w:rPr>
                <w:b w:val="0"/>
                <w:bCs/>
                <w:color w:val="auto"/>
              </w:rPr>
              <w:t xml:space="preserve"> – does the ind</w:t>
            </w:r>
            <w:r w:rsidR="00040851">
              <w:rPr>
                <w:b w:val="0"/>
                <w:bCs/>
                <w:color w:val="auto"/>
              </w:rPr>
              <w:t>uction tutor have sufficient evidence to sign the ECT off on return from mat leave?</w:t>
            </w:r>
            <w:r w:rsidR="003F68BE">
              <w:rPr>
                <w:b w:val="0"/>
                <w:bCs/>
                <w:color w:val="auto"/>
              </w:rPr>
              <w:t xml:space="preserve"> </w:t>
            </w:r>
          </w:p>
          <w:p w14:paraId="39DD2DC4" w14:textId="77777777" w:rsidR="003F68BE" w:rsidRDefault="003F68BE" w:rsidP="00766264">
            <w:pPr>
              <w:jc w:val="both"/>
              <w:rPr>
                <w:b w:val="0"/>
                <w:bCs/>
                <w:color w:val="auto"/>
              </w:rPr>
            </w:pPr>
          </w:p>
          <w:p w14:paraId="622ECE08" w14:textId="77542F0A" w:rsidR="00250289" w:rsidRDefault="003F68BE" w:rsidP="00766264">
            <w:pPr>
              <w:jc w:val="both"/>
              <w:rPr>
                <w:b w:val="0"/>
                <w:bCs/>
                <w:color w:val="auto"/>
              </w:rPr>
            </w:pPr>
            <w:r>
              <w:rPr>
                <w:b w:val="0"/>
                <w:bCs/>
                <w:color w:val="auto"/>
              </w:rPr>
              <w:t>Yes/</w:t>
            </w:r>
            <w:r w:rsidR="003A7030">
              <w:rPr>
                <w:b w:val="0"/>
                <w:bCs/>
                <w:color w:val="auto"/>
              </w:rPr>
              <w:t xml:space="preserve"> </w:t>
            </w:r>
            <w:r>
              <w:rPr>
                <w:b w:val="0"/>
                <w:bCs/>
                <w:color w:val="auto"/>
              </w:rPr>
              <w:t>no</w:t>
            </w:r>
            <w:r w:rsidR="003A7030">
              <w:rPr>
                <w:b w:val="0"/>
                <w:bCs/>
                <w:color w:val="auto"/>
              </w:rPr>
              <w:t>/ unsure</w:t>
            </w:r>
          </w:p>
          <w:p w14:paraId="57919237" w14:textId="59B2654D" w:rsidR="003F68BE" w:rsidRDefault="003F68BE" w:rsidP="00766264">
            <w:pPr>
              <w:jc w:val="both"/>
              <w:rPr>
                <w:b w:val="0"/>
                <w:bCs/>
                <w:color w:val="auto"/>
              </w:rPr>
            </w:pPr>
          </w:p>
        </w:tc>
      </w:tr>
      <w:tr w:rsidR="00A161E1" w14:paraId="3BEEFECA" w14:textId="77777777" w:rsidTr="00950A3A">
        <w:tc>
          <w:tcPr>
            <w:tcW w:w="9962" w:type="dxa"/>
            <w:gridSpan w:val="2"/>
          </w:tcPr>
          <w:p w14:paraId="279E03C8" w14:textId="77777777" w:rsidR="00A161E1" w:rsidRDefault="00A161E1" w:rsidP="00766264">
            <w:pPr>
              <w:jc w:val="both"/>
              <w:rPr>
                <w:b w:val="0"/>
                <w:bCs/>
                <w:color w:val="auto"/>
              </w:rPr>
            </w:pPr>
            <w:r>
              <w:rPr>
                <w:b w:val="0"/>
                <w:bCs/>
                <w:color w:val="auto"/>
              </w:rPr>
              <w:t>ECT signature</w:t>
            </w:r>
          </w:p>
          <w:p w14:paraId="0C949A45" w14:textId="2C763905" w:rsidR="00A161E1" w:rsidRDefault="00A161E1" w:rsidP="00766264">
            <w:pPr>
              <w:jc w:val="both"/>
              <w:rPr>
                <w:b w:val="0"/>
                <w:bCs/>
                <w:color w:val="auto"/>
              </w:rPr>
            </w:pPr>
          </w:p>
        </w:tc>
      </w:tr>
      <w:tr w:rsidR="00A161E1" w14:paraId="44DDE38A" w14:textId="77777777" w:rsidTr="00950A3A">
        <w:tc>
          <w:tcPr>
            <w:tcW w:w="9962" w:type="dxa"/>
            <w:gridSpan w:val="2"/>
          </w:tcPr>
          <w:p w14:paraId="16A355D2" w14:textId="77777777" w:rsidR="00A161E1" w:rsidRDefault="00A161E1" w:rsidP="00766264">
            <w:pPr>
              <w:jc w:val="both"/>
              <w:rPr>
                <w:b w:val="0"/>
                <w:bCs/>
                <w:color w:val="auto"/>
              </w:rPr>
            </w:pPr>
            <w:r>
              <w:rPr>
                <w:b w:val="0"/>
                <w:bCs/>
                <w:color w:val="auto"/>
              </w:rPr>
              <w:t>Induction tutor signature</w:t>
            </w:r>
          </w:p>
          <w:p w14:paraId="4FE5FB13" w14:textId="72A025F0" w:rsidR="00A161E1" w:rsidRDefault="00A161E1" w:rsidP="00766264">
            <w:pPr>
              <w:jc w:val="both"/>
              <w:rPr>
                <w:b w:val="0"/>
                <w:bCs/>
                <w:color w:val="auto"/>
              </w:rPr>
            </w:pPr>
          </w:p>
        </w:tc>
      </w:tr>
      <w:tr w:rsidR="00A161E1" w14:paraId="4DA0992D" w14:textId="77777777" w:rsidTr="00950A3A">
        <w:tc>
          <w:tcPr>
            <w:tcW w:w="9962" w:type="dxa"/>
            <w:gridSpan w:val="2"/>
          </w:tcPr>
          <w:p w14:paraId="0B72937C" w14:textId="77777777" w:rsidR="00A161E1" w:rsidRDefault="00A161E1" w:rsidP="00766264">
            <w:pPr>
              <w:jc w:val="both"/>
              <w:rPr>
                <w:b w:val="0"/>
                <w:bCs/>
                <w:color w:val="auto"/>
              </w:rPr>
            </w:pPr>
            <w:r>
              <w:rPr>
                <w:b w:val="0"/>
                <w:bCs/>
                <w:color w:val="auto"/>
              </w:rPr>
              <w:t>Date</w:t>
            </w:r>
          </w:p>
          <w:p w14:paraId="310FFE6E" w14:textId="297766C4" w:rsidR="00A161E1" w:rsidRDefault="00A161E1" w:rsidP="00766264">
            <w:pPr>
              <w:jc w:val="both"/>
              <w:rPr>
                <w:b w:val="0"/>
                <w:bCs/>
                <w:color w:val="auto"/>
              </w:rPr>
            </w:pPr>
          </w:p>
        </w:tc>
      </w:tr>
    </w:tbl>
    <w:p w14:paraId="53D175AD" w14:textId="77777777" w:rsidR="008E4AAA" w:rsidRDefault="008E4AAA" w:rsidP="00E209EA">
      <w:pPr>
        <w:jc w:val="both"/>
        <w:rPr>
          <w:color w:val="auto"/>
        </w:rPr>
      </w:pPr>
    </w:p>
    <w:p w14:paraId="59B55CED" w14:textId="393B4635" w:rsidR="002F0A75" w:rsidRDefault="0075286B" w:rsidP="00E209EA">
      <w:pPr>
        <w:jc w:val="both"/>
        <w:rPr>
          <w:b w:val="0"/>
          <w:bCs/>
          <w:color w:val="auto"/>
        </w:rPr>
      </w:pPr>
      <w:r>
        <w:rPr>
          <w:b w:val="0"/>
          <w:bCs/>
          <w:color w:val="auto"/>
        </w:rPr>
        <w:t xml:space="preserve">If induction tutors or ECTs have any further questions, please contact Janet Roberts, TSH Berkshire Director via email at </w:t>
      </w:r>
      <w:hyperlink r:id="rId7" w:history="1">
        <w:r w:rsidRPr="00806B43">
          <w:rPr>
            <w:rStyle w:val="Hyperlink"/>
            <w:b w:val="0"/>
            <w:bCs/>
          </w:rPr>
          <w:t>janetroberts@lgs.slough.sch.uk</w:t>
        </w:r>
      </w:hyperlink>
      <w:r>
        <w:rPr>
          <w:b w:val="0"/>
          <w:bCs/>
          <w:color w:val="auto"/>
        </w:rPr>
        <w:t xml:space="preserve"> </w:t>
      </w:r>
    </w:p>
    <w:p w14:paraId="33786C9B" w14:textId="77777777" w:rsidR="00766264" w:rsidRPr="006D4693" w:rsidRDefault="00766264" w:rsidP="00E209EA">
      <w:pPr>
        <w:jc w:val="both"/>
        <w:rPr>
          <w:b w:val="0"/>
          <w:bCs/>
          <w:color w:val="auto"/>
        </w:rPr>
      </w:pPr>
    </w:p>
    <w:p w14:paraId="504A3E6F" w14:textId="77777777" w:rsidR="00C308B8" w:rsidRDefault="00C308B8" w:rsidP="00E209EA">
      <w:pPr>
        <w:jc w:val="both"/>
        <w:rPr>
          <w:b w:val="0"/>
          <w:bCs/>
          <w:color w:val="auto"/>
        </w:rPr>
      </w:pPr>
    </w:p>
    <w:p w14:paraId="71617581" w14:textId="77777777" w:rsidR="00C308B8" w:rsidRPr="00E209EA" w:rsidRDefault="00C308B8" w:rsidP="00E209EA">
      <w:pPr>
        <w:jc w:val="both"/>
        <w:rPr>
          <w:b w:val="0"/>
          <w:bCs/>
          <w:color w:val="auto"/>
        </w:rPr>
      </w:pPr>
    </w:p>
    <w:p w14:paraId="1DB7275D" w14:textId="77777777" w:rsidR="00E209EA" w:rsidRPr="00E209EA" w:rsidRDefault="00E209EA" w:rsidP="00E209EA"/>
    <w:sectPr w:rsidR="00E209EA" w:rsidRPr="00E209EA" w:rsidSect="002D0221">
      <w:head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C1DC2" w14:textId="77777777" w:rsidR="00B610C7" w:rsidRDefault="00B610C7" w:rsidP="00DB01D0">
      <w:pPr>
        <w:spacing w:after="0" w:line="240" w:lineRule="auto"/>
      </w:pPr>
      <w:r>
        <w:separator/>
      </w:r>
    </w:p>
  </w:endnote>
  <w:endnote w:type="continuationSeparator" w:id="0">
    <w:p w14:paraId="1D2D254A" w14:textId="77777777" w:rsidR="00B610C7" w:rsidRDefault="00B610C7" w:rsidP="00DB0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EEB52" w14:textId="77777777" w:rsidR="00B610C7" w:rsidRDefault="00B610C7" w:rsidP="00DB01D0">
      <w:pPr>
        <w:spacing w:after="0" w:line="240" w:lineRule="auto"/>
      </w:pPr>
      <w:r>
        <w:separator/>
      </w:r>
    </w:p>
  </w:footnote>
  <w:footnote w:type="continuationSeparator" w:id="0">
    <w:p w14:paraId="1A0C4F74" w14:textId="77777777" w:rsidR="00B610C7" w:rsidRDefault="00B610C7" w:rsidP="00DB0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A9A7F" w14:textId="320FCD1C" w:rsidR="00DB01D0" w:rsidRDefault="00DB01D0" w:rsidP="00DB01D0">
    <w:pPr>
      <w:pStyle w:val="Header"/>
      <w:jc w:val="right"/>
    </w:pPr>
    <w:r>
      <w:rPr>
        <w:noProof/>
      </w:rPr>
      <w:drawing>
        <wp:inline distT="0" distB="0" distL="0" distR="0" wp14:anchorId="233C7AD3" wp14:editId="5B4FDC67">
          <wp:extent cx="1244600" cy="655999"/>
          <wp:effectExtent l="0" t="0" r="0" b="0"/>
          <wp:docPr id="1" name="Picture 7" descr="A logo with text and a couple of silhouettes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A logo with text and a couple of silhouettes of a map&#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8659" cy="65813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221"/>
    <w:rsid w:val="00040851"/>
    <w:rsid w:val="000D7657"/>
    <w:rsid w:val="00250289"/>
    <w:rsid w:val="002D0221"/>
    <w:rsid w:val="002F0A75"/>
    <w:rsid w:val="003A7030"/>
    <w:rsid w:val="003B40BF"/>
    <w:rsid w:val="003F1722"/>
    <w:rsid w:val="003F68BE"/>
    <w:rsid w:val="00440211"/>
    <w:rsid w:val="004E6A7F"/>
    <w:rsid w:val="006D4693"/>
    <w:rsid w:val="0075286B"/>
    <w:rsid w:val="00766264"/>
    <w:rsid w:val="007B0DFE"/>
    <w:rsid w:val="007E61EE"/>
    <w:rsid w:val="00860A68"/>
    <w:rsid w:val="008D7DC2"/>
    <w:rsid w:val="008E4AAA"/>
    <w:rsid w:val="009B533C"/>
    <w:rsid w:val="009E2909"/>
    <w:rsid w:val="00A161E1"/>
    <w:rsid w:val="00A76692"/>
    <w:rsid w:val="00B610C7"/>
    <w:rsid w:val="00C308B8"/>
    <w:rsid w:val="00C4739B"/>
    <w:rsid w:val="00C74FEE"/>
    <w:rsid w:val="00C9790A"/>
    <w:rsid w:val="00CF523E"/>
    <w:rsid w:val="00D8024B"/>
    <w:rsid w:val="00DB01D0"/>
    <w:rsid w:val="00DC2AE6"/>
    <w:rsid w:val="00E209EA"/>
    <w:rsid w:val="00F578E5"/>
    <w:rsid w:val="00FA5654"/>
    <w:rsid w:val="00FC46A5"/>
    <w:rsid w:val="00FD2D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FB67"/>
  <w15:chartTrackingRefBased/>
  <w15:docId w15:val="{615CDB98-79AD-4445-BA0F-23E311E5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ajorBidi"/>
        <w:b/>
        <w:color w:val="0F4761" w:themeColor="accent1" w:themeShade="BF"/>
        <w:kern w:val="2"/>
        <w:sz w:val="22"/>
        <w:szCs w:val="40"/>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221"/>
    <w:pPr>
      <w:keepNext/>
      <w:keepLines/>
      <w:spacing w:before="360" w:after="80"/>
      <w:outlineLvl w:val="0"/>
    </w:pPr>
    <w:rPr>
      <w:rFonts w:asciiTheme="majorHAnsi" w:eastAsiaTheme="majorEastAsia" w:hAnsiTheme="majorHAnsi"/>
      <w:sz w:val="40"/>
    </w:rPr>
  </w:style>
  <w:style w:type="paragraph" w:styleId="Heading2">
    <w:name w:val="heading 2"/>
    <w:basedOn w:val="Normal"/>
    <w:next w:val="Normal"/>
    <w:link w:val="Heading2Char"/>
    <w:uiPriority w:val="9"/>
    <w:unhideWhenUsed/>
    <w:qFormat/>
    <w:rsid w:val="002D0221"/>
    <w:pPr>
      <w:keepNext/>
      <w:keepLines/>
      <w:spacing w:before="160" w:after="80"/>
      <w:outlineLvl w:val="1"/>
    </w:pPr>
    <w:rPr>
      <w:rFonts w:asciiTheme="majorHAnsi" w:eastAsiaTheme="majorEastAsia" w:hAnsiTheme="majorHAnsi"/>
      <w:sz w:val="32"/>
      <w:szCs w:val="32"/>
    </w:rPr>
  </w:style>
  <w:style w:type="paragraph" w:styleId="Heading3">
    <w:name w:val="heading 3"/>
    <w:basedOn w:val="Normal"/>
    <w:next w:val="Normal"/>
    <w:link w:val="Heading3Char"/>
    <w:uiPriority w:val="9"/>
    <w:semiHidden/>
    <w:unhideWhenUsed/>
    <w:qFormat/>
    <w:rsid w:val="002D0221"/>
    <w:pPr>
      <w:keepNext/>
      <w:keepLines/>
      <w:spacing w:before="160" w:after="80"/>
      <w:outlineLvl w:val="2"/>
    </w:pPr>
    <w:rPr>
      <w:rFonts w:eastAsiaTheme="majorEastAsia"/>
      <w:sz w:val="28"/>
      <w:szCs w:val="28"/>
    </w:rPr>
  </w:style>
  <w:style w:type="paragraph" w:styleId="Heading4">
    <w:name w:val="heading 4"/>
    <w:basedOn w:val="Normal"/>
    <w:next w:val="Normal"/>
    <w:link w:val="Heading4Char"/>
    <w:uiPriority w:val="9"/>
    <w:semiHidden/>
    <w:unhideWhenUsed/>
    <w:qFormat/>
    <w:rsid w:val="002D0221"/>
    <w:pPr>
      <w:keepNext/>
      <w:keepLines/>
      <w:spacing w:before="80" w:after="40"/>
      <w:outlineLvl w:val="3"/>
    </w:pPr>
    <w:rPr>
      <w:rFonts w:eastAsiaTheme="majorEastAsia"/>
      <w:i/>
      <w:iCs/>
    </w:rPr>
  </w:style>
  <w:style w:type="paragraph" w:styleId="Heading5">
    <w:name w:val="heading 5"/>
    <w:basedOn w:val="Normal"/>
    <w:next w:val="Normal"/>
    <w:link w:val="Heading5Char"/>
    <w:uiPriority w:val="9"/>
    <w:semiHidden/>
    <w:unhideWhenUsed/>
    <w:qFormat/>
    <w:rsid w:val="002D0221"/>
    <w:pPr>
      <w:keepNext/>
      <w:keepLines/>
      <w:spacing w:before="80" w:after="40"/>
      <w:outlineLvl w:val="4"/>
    </w:pPr>
    <w:rPr>
      <w:rFonts w:eastAsiaTheme="majorEastAsia"/>
    </w:rPr>
  </w:style>
  <w:style w:type="paragraph" w:styleId="Heading6">
    <w:name w:val="heading 6"/>
    <w:basedOn w:val="Normal"/>
    <w:next w:val="Normal"/>
    <w:link w:val="Heading6Char"/>
    <w:uiPriority w:val="9"/>
    <w:semiHidden/>
    <w:unhideWhenUsed/>
    <w:qFormat/>
    <w:rsid w:val="002D0221"/>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2D0221"/>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2D0221"/>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2D0221"/>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0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221"/>
    <w:rPr>
      <w:rFonts w:eastAsiaTheme="majorEastAsia" w:cstheme="majorBidi"/>
      <w:color w:val="272727" w:themeColor="text1" w:themeTint="D8"/>
    </w:rPr>
  </w:style>
  <w:style w:type="paragraph" w:styleId="Title">
    <w:name w:val="Title"/>
    <w:basedOn w:val="Normal"/>
    <w:next w:val="Normal"/>
    <w:link w:val="TitleChar"/>
    <w:uiPriority w:val="10"/>
    <w:qFormat/>
    <w:rsid w:val="002D0221"/>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2D0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221"/>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2D0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221"/>
    <w:pPr>
      <w:spacing w:before="160"/>
      <w:jc w:val="center"/>
    </w:pPr>
    <w:rPr>
      <w:i/>
      <w:iCs/>
      <w:color w:val="404040" w:themeColor="text1" w:themeTint="BF"/>
    </w:rPr>
  </w:style>
  <w:style w:type="character" w:customStyle="1" w:styleId="QuoteChar">
    <w:name w:val="Quote Char"/>
    <w:basedOn w:val="DefaultParagraphFont"/>
    <w:link w:val="Quote"/>
    <w:uiPriority w:val="29"/>
    <w:rsid w:val="002D0221"/>
    <w:rPr>
      <w:i/>
      <w:iCs/>
      <w:color w:val="404040" w:themeColor="text1" w:themeTint="BF"/>
    </w:rPr>
  </w:style>
  <w:style w:type="paragraph" w:styleId="ListParagraph">
    <w:name w:val="List Paragraph"/>
    <w:basedOn w:val="Normal"/>
    <w:uiPriority w:val="34"/>
    <w:qFormat/>
    <w:rsid w:val="002D0221"/>
    <w:pPr>
      <w:ind w:left="720"/>
      <w:contextualSpacing/>
    </w:pPr>
  </w:style>
  <w:style w:type="character" w:styleId="IntenseEmphasis">
    <w:name w:val="Intense Emphasis"/>
    <w:basedOn w:val="DefaultParagraphFont"/>
    <w:uiPriority w:val="21"/>
    <w:qFormat/>
    <w:rsid w:val="002D0221"/>
    <w:rPr>
      <w:i/>
      <w:iCs/>
      <w:color w:val="0F4761" w:themeColor="accent1" w:themeShade="BF"/>
    </w:rPr>
  </w:style>
  <w:style w:type="paragraph" w:styleId="IntenseQuote">
    <w:name w:val="Intense Quote"/>
    <w:basedOn w:val="Normal"/>
    <w:next w:val="Normal"/>
    <w:link w:val="IntenseQuoteChar"/>
    <w:uiPriority w:val="30"/>
    <w:qFormat/>
    <w:rsid w:val="002D0221"/>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2D0221"/>
    <w:rPr>
      <w:i/>
      <w:iCs/>
      <w:color w:val="0F4761" w:themeColor="accent1" w:themeShade="BF"/>
    </w:rPr>
  </w:style>
  <w:style w:type="character" w:styleId="IntenseReference">
    <w:name w:val="Intense Reference"/>
    <w:basedOn w:val="DefaultParagraphFont"/>
    <w:uiPriority w:val="32"/>
    <w:qFormat/>
    <w:rsid w:val="002D0221"/>
    <w:rPr>
      <w:b w:val="0"/>
      <w:bCs/>
      <w:smallCaps/>
      <w:color w:val="0F4761" w:themeColor="accent1" w:themeShade="BF"/>
      <w:spacing w:val="5"/>
    </w:rPr>
  </w:style>
  <w:style w:type="character" w:styleId="Hyperlink">
    <w:name w:val="Hyperlink"/>
    <w:basedOn w:val="DefaultParagraphFont"/>
    <w:uiPriority w:val="99"/>
    <w:unhideWhenUsed/>
    <w:rsid w:val="002D0221"/>
    <w:rPr>
      <w:color w:val="467886" w:themeColor="hyperlink"/>
      <w:u w:val="single"/>
    </w:rPr>
  </w:style>
  <w:style w:type="character" w:styleId="UnresolvedMention">
    <w:name w:val="Unresolved Mention"/>
    <w:basedOn w:val="DefaultParagraphFont"/>
    <w:uiPriority w:val="99"/>
    <w:semiHidden/>
    <w:unhideWhenUsed/>
    <w:rsid w:val="002D0221"/>
    <w:rPr>
      <w:color w:val="605E5C"/>
      <w:shd w:val="clear" w:color="auto" w:fill="E1DFDD"/>
    </w:rPr>
  </w:style>
  <w:style w:type="paragraph" w:styleId="Header">
    <w:name w:val="header"/>
    <w:basedOn w:val="Normal"/>
    <w:link w:val="HeaderChar"/>
    <w:uiPriority w:val="99"/>
    <w:unhideWhenUsed/>
    <w:rsid w:val="00DB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0"/>
  </w:style>
  <w:style w:type="paragraph" w:styleId="Footer">
    <w:name w:val="footer"/>
    <w:basedOn w:val="Normal"/>
    <w:link w:val="FooterChar"/>
    <w:uiPriority w:val="99"/>
    <w:unhideWhenUsed/>
    <w:rsid w:val="00DB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0"/>
  </w:style>
  <w:style w:type="table" w:styleId="TableGrid">
    <w:name w:val="Table Grid"/>
    <w:basedOn w:val="TableNormal"/>
    <w:uiPriority w:val="39"/>
    <w:rsid w:val="008E4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C2A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janetroberts@lgs.slough.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induction-for-early-career-teachers-englan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Roberts</dc:creator>
  <cp:keywords/>
  <dc:description/>
  <cp:lastModifiedBy>Janet Roberts</cp:lastModifiedBy>
  <cp:revision>2</cp:revision>
  <dcterms:created xsi:type="dcterms:W3CDTF">2025-07-22T13:57:00Z</dcterms:created>
  <dcterms:modified xsi:type="dcterms:W3CDTF">2025-07-22T13:57:00Z</dcterms:modified>
</cp:coreProperties>
</file>